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МИНИСТЕРСТВО РОССИЙСКОЙ ФЕДЕРАЦИИ ПО ДЕЛАМ ГРАЖДАНСКОЙ ОБОРОНЫ, ЧРЕЗВЫЧАЙНЫМ СИТУАЦИЯМ И ЛИКВИДАЦИИ ПОСЛЕДСТВИЙ СТИХИЙНЫХ БЕДСТВИЙ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ГОСУДАРСТВЕННАЯ ПРОТИВОПОЖАРНАЯ СЛУЖБА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     НОРМЫ ПОЖАРНОЙ БЕЗОПАСНОСТИ </w:t>
      </w:r>
    </w:p>
    <w:p w:rsidR="00DD699B" w:rsidRPr="000737D3" w:rsidRDefault="00DD699B" w:rsidP="000737D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0737D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</w:t>
      </w:r>
    </w:p>
    <w:p w:rsidR="00DD699B" w:rsidRPr="000737D3" w:rsidRDefault="00DD699B" w:rsidP="000737D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0737D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Перечень зданий, сооружений, помещений и оборудования,</w:t>
      </w:r>
      <w:r w:rsidRPr="000737D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br/>
        <w:t xml:space="preserve">подлежащих защите автоматическими установками пожаротушения и автоматической пожарной сигнализацией </w:t>
      </w:r>
    </w:p>
    <w:p w:rsidR="00DD699B" w:rsidRPr="000737D3" w:rsidRDefault="00DD699B" w:rsidP="000737D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0737D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 xml:space="preserve"> НПБ 110-03 </w:t>
      </w:r>
    </w:p>
    <w:p w:rsidR="00DD699B" w:rsidRPr="000737D3" w:rsidRDefault="00DD699B" w:rsidP="000737D3">
      <w:pPr>
        <w:spacing w:before="15" w:after="15" w:line="240" w:lineRule="auto"/>
        <w:jc w:val="center"/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</w:pPr>
      <w:r w:rsidRPr="000737D3">
        <w:rPr>
          <w:rFonts w:ascii="Times New Roman" w:hAnsi="Times New Roman"/>
          <w:b/>
          <w:bCs/>
          <w:color w:val="800000"/>
          <w:sz w:val="28"/>
          <w:szCs w:val="28"/>
          <w:lang w:eastAsia="ru-RU"/>
        </w:rPr>
        <w:t>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The list of buildings, constructions, Rooms and equipment subject to protection by automatic extinguishing and fire detection installation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МОСКВА 2003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Разработаны Главным управлением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(ГУГПС МЧС России) и Федеральным государственным учреждением “Всероссийский ордена “Знак Почета” научно-исследовательский институт противопожарной обороны Министерства Российской Федерации по делам гражданской обороны, чрезвычайным ситуациям и ликвидации последствий стихийных бедствий” (ФГУ ВНИИПО МЧС России).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Внесены и подготовлены к утверждению нормативно-техническим отделом Главного управления Государственной противопожарной службы (ГУГПС МЧС России).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Утверждены приказом МЧС России от 18 июня 2003 г. № 315.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Дата введения в действие 30 июня 2003 г.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Взамен НПБ 110-99*.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    Настоящий нормативный документ не может быть полностью или частично воспроизведен, тиражирован и распространен в качестве официального издания без разрешения ГУГПС и ФГУ ВНИИПО МЧС России. </w:t>
      </w: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 ОБЩИЕ ПОЛОЖЕНИЯ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1. Настоящие нормы устанавливают основные требования пожарной безопасности, регламентирующие защиту зданий, сооружений, помещений и оборудования на всех этапах их создания и эксплуатации автоматическими установками пожаротушения (АУПТ) и автоматическими установками пожарной сигнализации (АУПС)</w:t>
      </w:r>
      <w:r w:rsidRPr="000737D3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>1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 w:rsidRPr="000737D3">
        <w:rPr>
          <w:rFonts w:ascii="Arial" w:hAnsi="Arial" w:cs="Arial"/>
          <w:color w:val="000000"/>
          <w:sz w:val="20"/>
          <w:szCs w:val="20"/>
          <w:vertAlign w:val="superscript"/>
          <w:lang w:eastAsia="ru-RU"/>
        </w:rPr>
        <w:t xml:space="preserve"> 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Далее – автоматические установки.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Объекты, не относящиеся к государственному и муниципальному имуществу, перечисленные в пунктах 1, 2, 7 таблицы 1, пунктах 1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8 таблицы 2, пунктах 1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15, 16.1, 17.1, 19, 20 таблицы 3, пунктах 1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7 таблицы 4 приложения настоящих норм допускается оборудовать АУПС без устройства АУПТ. При этом на указанных объектах должна быть обеспечена безопасность находящихся в них людей и устранена угроза пожара и его опасных факторов для других лиц, что должно быть подтверждено соответствующими расчетами, а применяемое в АУПС оборудование должно отвечать современным требованиям.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На объектах, перечисленных выше, взамен АУПТ также могут предусматриваться автономные установки пожаротушения для защиты отдельных пожароопасных участков.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Наряду с настоящими нормами необходимо руководствоваться ведомственными (отраслевыми) и территориальными перечнями, а также другими нормативными документами, утвержденными в установленном порядке.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Ведомственные (отраслевые), территориальные перечни, а также другие нормативные документы, определяющие необходимость защиты зданий, сооружений, помещений и оборудования АУПТ и АУПС, разработанные в соответствии с требованиями настоящих норм, согласованию не подлежат.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2. Под зданием в настоящих нормах понимается здание в целом или часть здания (пожарные отсеки), выделенные противопожарными стенами 1 типа.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Под нормативным показателем площади помещения в разделе III обязательного приложения настоящих норм понимается часть здания или сооружения, выделенная ограждающими конструкциями, отнесенными к противопожарным преградам с пределом огнестойкости не менее 0,75 часа (перегородки EI 45, стены и перекрытия REI 45).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3. Тип автоматической установки тушения, способ тушения, вид огнетушащих средств, тип оборудования установок пожарной автоматики определяется организацией-проектировщиком в зависимости от технологических, конструктивных и объемно-планировочных особенностей защищаемых зданий и помещений с учетом требований действующих нормативно-технических документов.   Здания и помещения, перечисленные в пунктах 3, 6.1, 7, 9, 10, 13 таблицы 1, пунктах 14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19, 26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29, 32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38 таблицы 3 при применении автоматической пожарной сигнализации следует оборудовать дымовыми пожарными извещателями.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4. В зданиях и сооружениях следует защищать соответствующими автоматическими установками все помещения независимо от площади, кроме помещений:</w:t>
      </w:r>
    </w:p>
    <w:p w:rsidR="00DD699B" w:rsidRPr="000737D3" w:rsidRDefault="00DD699B" w:rsidP="000737D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с мокрыми процессами (душевые, санузлы, охлаждаемые камеры, помещения мойки и т. п.);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венткамер (приточных, а также вытяжных, не обслуживающих производственные помещения категории А или Б), насосных водоснабжения, бойлерных и др. помещений для инженерного оборудования здания, в которых отсутствуют горючие материалы;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категории В4 и Д по пожарной опасности;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лестничных клеток.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5. Здания, сооружения и помещения, подлежащие оборудованию установками охранной и пожарной сигнализации, рекомендуется защищать охранно-пожарной сигнализацией.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6. Если площадь помещений, подлежащих оборудованию системами автоматического пожаротушения, составляет 40 % и более от общей площади этажей здания, сооружения, следует предусматривать оборудование здания, сооружения в целом системами автоматического пожаротушения за исключением помещений, перечисленных в п. 4.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7. АУПТ и АУПС должны проектироваться в соответствии с нормативными документами, утвержденными в установленном порядке.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8. Категория зданий и помещений определяется в соответствии с нормативными документами в области пожарной безопасности, утвержденными в установленном порядке.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9. Защита наружных технологических установок с обращением взрывопожароопасных веществ и материалов автоматическими установками тушения и обнаружения пожара определяется ведомственными нормативными документами, согласованными и утвержденными в установленном порядке.    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10. Здания, сооружения и помещения, не вошедшие в настоящий Перечень, оборудуются установками пожарной автоматики в соответствии с требованиями отраслевых (ведомственных) нормативных документов, утвержденных в установленном порядке.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11. Согласование проектов систем автоматической противопожарной защиты зданий, сооружений, помещений и оборудования в подразделениях Государственной противопожарной службы проводится в соответствии с нормативными документами по пожарной безопасности и инструкцией по организации и осуществлению государственного пожарного надзора.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12. Перечень зданий и помещений, которые целесообразно оборудовать пожарной автоматикой с передачей сигнала о  пожаре по радиотелекоммуникационной системе на центральный узел связи “01” Государственной противопожарной службы, определяется соответствующим территориальным подразделением ГПС МЧС России, исходя из их технических возможностей.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13. В разделе III обязательного приложения при определении вида автоматической установки (АУПТ или АУПС) для защиты помещений категории В3 по пожарной опасности нормативный показатель (площадь помещения) допускается увеличивать на 20 %.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14.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сигнализацией, представлен в обязательном приложении.  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Приложение </w:t>
      </w: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br/>
        <w:t>Обязательное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I. ЗДАНИЯ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Таблица 1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77"/>
        <w:gridCol w:w="110"/>
        <w:gridCol w:w="110"/>
        <w:gridCol w:w="5622"/>
        <w:gridCol w:w="1754"/>
        <w:gridCol w:w="1660"/>
      </w:tblGrid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АУПС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Нормативный показатель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Здания складов категории В по пожарной опасности с хранением на стеллажах высотой 5,5 м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 и этажности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Здания складов категории В по пожарной опасности высотой два этажа и более (кроме указанных в п.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Здания архивов, уникальных изданий, отчетов, рукописей и другой документации особой 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Здания и сооружения для автомобилей: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4.1. Для хранения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СНиП 21-02-99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4.2. Для технического обслуживания и ремонта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ВСН 01-89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Здания высотой более 30 м (за исключением жилых зданий и производственных зданий категории Г и Д по пожарной опасности)*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Жилые здания: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6.1. Общежития, специализированные жилые дома для престарелых и инвалидов**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6.2. Жилые здания высотой более 28 м***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 Одноэтажные здания из легких металлических конструкций с полимерными горючими утеплителями: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 Общественного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****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800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7.2. Административно-бытового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 Здания и сооружения по переработке и хранению зерна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 и этажности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 Здания общественного и административно-бытового назначения (кроме указанных в пп. 11, 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 Здания предприятий торговли (за исключением помещений, указанных в п. 4 настоящих норм, и помещений хранения и подготовки к продаже мяса, рыбы, фруктов и овощей (в негорючей упаковке), металлической посуды, негорючих строительных материалов):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10.1. Одноэтажные (за исключением п. 13):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10.1.1. При размещении торгового зала и подсобных помещений в цокольном или подвальном этажах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10.1.2. При размещении торгового зала и подсобных помещений в наземной части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площади здания 3500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площади здания менее 3500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10.2. Двухэтажные: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10.2.1. Общей торговой площадью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10.2.2. При размещении торгового зала в цокольном или подвальном этажах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величины торговой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10.3. Трехэтажные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10.4. Здания специализированных предприятий торговли по продаже легковоспламеняющихся и горючих жидкостей (за исключением расфасованного товара в таре емкостью не более 20 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 Автозаправочные станции (в том числе контейнерного типа), а также палатки, магазины и киоски, относящиеся к ним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НПБ 111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12. Культовые здания и комплексы (производственные, складские и жилые здания комплексов оборудуются по требованиям соответствующих пунктов настоящих норм)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 и этажности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13. Здания выставочных павильонов: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13.1. Одноэтажные (за исключением п.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13.2. Двухэтажные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D699B" w:rsidRPr="000737D3" w:rsidRDefault="00DD699B" w:rsidP="000737D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Примечания: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br/>
        <w:t>* Высота здания определяется в соответствии с требованиями СНиП 21-01-97 “Пожарная безопасность зданий и сооружений”.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** Наряду с АУПС помещения квартир и общежитий следует оборудовать автономными оптико-электронными дымовыми пожарными извещателями согласно СНиП 2.08.01.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*** Тепловые пожарные извещатели АУПС устанавливаются в прихожих квартир и используются для выполнения требования п. 1.34* СНиП 2.08.01-89*.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**** Здесь и далее в таблице 1 указана общая площадь помещений. 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II. СООРУЖЕНИЯ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Таблица 2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07"/>
        <w:gridCol w:w="5915"/>
        <w:gridCol w:w="1733"/>
        <w:gridCol w:w="1578"/>
      </w:tblGrid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АУПС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Нормативный показатель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Кабельные сооружения* электростанций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Кабельные сооружения подстанций напряжением, кВ: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2.1. 500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2.2. Менее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Кабельные сооружения подстанций глубокого ввода напряжением 110 кВ с трансформаторами мощностью: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3.1. 63 МВА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3.2. Менее 63 МВА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Кабельные сооружения промышленных и общественных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Более 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менее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Комбинированные тоннели производственных и общественных зданий при прокладке в них кабелей и проводов напряжением 220 В и выше, в количестве: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5.1. Объемом более 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 шт.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5 до 12 шт.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5.2. Объемом 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 и более шт.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Кабельные тоннели и закрытые полностью галереи (в том числе комбинированные), прокладываемые между промышленными зданиями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 Городские кабельные коллекторы и тоннели (в том числе комбинированные)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 и объема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 Кабельные сооружения при прокладке в них маслонаполненных кабелей в металлических трубах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 Емкостные сооружения (резервуары) для наземного хранения легковоспламеняющихся и горючих жидкостей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СНиП 2.11.03-93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 Закрытые галереи, эстакады для транспортирования лесоматериалов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длины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 Пространства за подвесными потолками при прокладке в них воздуховодов, трубопроводов с изоляцией, выполненной из материалов группы горючести Г1-Г4, а также кабелей (проводов), не распространяющих горение (НГ) и имеющих код пожарной опасности ПРГП1 (по НПБ 248), в том числе при их совместной прокладке*: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11.1. Воздуховодов, трубопроводов или кабелей (проводов),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в том числе при их совместной прокладке, с объемом горючей массы кабелей (проводов)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 и более литров на метр кабельной линии (КЛ)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11.2. Кабелей (проводов) типа НГ с общим объемом горючей массы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От 1,5 до 7 л на 1 метр КЛ</w:t>
            </w:r>
          </w:p>
        </w:tc>
      </w:tr>
    </w:tbl>
    <w:p w:rsidR="00DD699B" w:rsidRPr="000737D3" w:rsidRDefault="00DD699B" w:rsidP="000737D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Примечания: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br/>
        <w:t>* Под кабельными сооружениями в настоящих нормах понимаются тоннели, каналы, подвалы, шахты, этажи, двойные полы, галереи, камеры, используемые для прокладки электрокабелей (в том числе совместно с другими коммуникациями).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*1. Кабельные сооружения, пространства за подвесными потолками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br/>
        <w:t>и под двойными полами автоматическими установками не оборудуются (за исключением пп. 1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3):</w:t>
      </w:r>
    </w:p>
    <w:p w:rsidR="00DD699B" w:rsidRPr="000737D3" w:rsidRDefault="00DD699B" w:rsidP="000737D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а) при прокладке кабелей (проводов) в стальных водогазопроводных трубах или стальных сплошных коробах с открываемыми сплошными крышками;  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б) при прокладке трубопроводов и воздухопроводов с негорючей изоляцией;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в) при прокладке одиночных кабелей (проводов) типа НГ для питания цепей освещения;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г) при прокладке кабелей (проводов) типа НГ с общим объемом горючей массы менее 1,5 л на 1 метр КЛ за подвесными потолками, выполненными из материалов группы горючести НГ и Г1.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2. В случае если здание (помещение) в целом подлежит защите АУПТ, пространства за подвесными потолками при прокладке в них воздуховодов, трубопроводов с изоляцией, выполненной из материалов группы горючести Г1</w:t>
      </w:r>
      <w:r w:rsidRPr="000737D3">
        <w:rPr>
          <w:rFonts w:ascii="Symbol" w:hAnsi="Symbol" w:cs="Arial"/>
          <w:color w:val="000000"/>
          <w:sz w:val="20"/>
          <w:szCs w:val="20"/>
          <w:lang w:eastAsia="ru-RU"/>
        </w:rPr>
        <w:t>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Г4, или кабелей (проводов) с объемом горючей массы кабелей (проводов) более 7 л на 1 метр КЛ необходимо защищать соответствующими установками. При этом если высота от перекрытия до подвесного потолка не превышает 0,4 м, устройство АУПТ не требуется.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3. Объем горючей массы изоляции кабелей (проводов) определяется по методике, утвержденной в установленном порядке.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 </w:t>
      </w: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III.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ПОМЕЩЕНИЯ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Таблица 3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4"/>
        <w:gridCol w:w="120"/>
        <w:gridCol w:w="112"/>
        <w:gridCol w:w="112"/>
        <w:gridCol w:w="5448"/>
        <w:gridCol w:w="1816"/>
        <w:gridCol w:w="1801"/>
      </w:tblGrid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АУПС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Нормативный показатель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Помещения складского назначения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Категории А и Б по взрывопожарной опасности (кроме помещений, расположенных в зданиях и сооружениях по переработке и хранению зерна)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Для хранения каучука, целлулоида и изделий из него, спичек, щелочных металлов, пиротехнических изделий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Для хранения шерсти, меха и изделий из него; фото-, кино-, аудиопленки на горючей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Категории В1 по пожарной опасности (кроме указанных в пп. 3.2; 3.3 и помещений, расположенных в зданиях и сооружениях по переработке и хранению зерна) при их размещении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4.1. В цокольном и подвальном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4.2. В надземных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Категорий В2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В3 по пожарной опасности (кроме указанных в пп. 2, 3 и помещений, расположенных в зданиях и сооружениях по переработке и хранению зерна) при их размещении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5.1. В цокольном и подвальном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5.2. В надземных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br/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Производственные помещения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Категории А и Б по взрывопожарной опасности с обращением: легковоспламеняющихся и горючих жидкостей, сжиженных горючих газов, горючих пылей и волокон (кроме указанных в п. 11 и помещений, расположенных в зданиях и сооружениях по переработке и хранению зерна)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 С наличием щелочных металлов при размещении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7.1. В цокольном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7.2. В надземных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 Категории В1 по пожарной опасности (кроме помещений, расположенных в зданиях и сооружениях по переработке и хранению зерна) при размещении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8.1. В цокольном и подвальном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8.2. В надземных (кроме указанных в пп. 11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 Категории В2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В3 по пожарной опасности (кроме указанных в пп. 10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18 и помещений, расположенных в зданиях и сооружениях по переработке и хранению зерна) при их размещении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9.1. В цокольном и подвальном: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9.1.1. Не имеющие выходов непосредственно наружу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9.1.2. При наличии выходов непосредственно наружу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700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9.2. В надземных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10. Маслоподвалы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11. Помещения приготовления: суспензии из алюминиевой пудры, резиновых клеев; на основе ЛВЖ и ГЖ: лаков, красок, клеев, мастик, пропиточных составов; помещения окрасочных, полимеризации синтетического каучука, компрессорных с газотурбинными двигателями, огневых подогревателей нефти. Помещения генераторами с приводом от двигателей, работающих на жидком топливе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12. Помещения высоковольтных испытательных залов, помещения экранированные горючими материалами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Помещения связи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13. Вентиляционные, трансформаторные помещения, помещения разделительных устройств: передающих радиостанций мощностью передатчиков 150 кВт и выше, приемных радиостанций с числом приемников от 20, стационарных станций космической связи с мощностью передающего устройства более 1 кВт, ретрансляционных телевизионных станций мощностью передатчиков 25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50 кВт, сетевых узлов, междугородных и городских телефонных станций, телеграфных станций, оконечных усилительных пунктов и районных узлов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14. Необслуживаемые и обслуживаемые без вечерних и ночных смен: технические цехи оконечных усилительных пунктов, промежуточных радиорелейных станций, передающих и приемных радиоцентров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     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15. Необслуживаемые аппаратные базовых станций сотовой системы подвижной радиосвязи и аппаратные радиорелейных станций сотовой системы подвижной радиосвязи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16. Помещения главных касс, помещения бюро контроля переводов и зональных вычислительных центров почтамтов, городских и районных узлов почтовой связи общим объемом зданий: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16.1. 40 тыс. м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16.2. Менее 40 тыс. м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17. Автозалы АТС, где устанавливается коммутационное оборудование квазиэлектронного и электронного типов совместно с ЭВМ, используемой в качестве управляющего комплекса, устройствами ввода-вывода, помещения электронных коммутационных станций, узлов, центров документальной электросвязи емкостью: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17.1. 10 тыс. и более номеров, каналов или точек подключения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17.2. Менее 10 тыс. номеров, каналов или точек подключения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18. Выделенные помещения управляющих устройств на основе ЭВМ автоматических междугородных телефонных станций при емкости станций: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18.1. 10 тыс. междугородных каналов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18.2. Менее 10 тыс. междугородных каналов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19. Помещения обработки, сортировки, хранения и доставки посылок, письменной корреспонденции, периодической печати, страховой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Помещения транспорта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20. Электромашинные, аппаратные, ремонтные, тележечные и колесные, разборки и сборки вагонов, ремонтно-комплектовочные, электровагонные, подготовки вагонов, дизельные, технического обслуживания подвижного состава, контейнерных депо, производства стрелочной продукции, горячей обработки цистерн, тепловой камеры обработки вагонов для нефтебитума, шпалопропиточные, цилиндровые, отстоя пропитанной древесины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21. Наземные и подземные помещения и сооружения метрополитенов и подземных скоростных трамваев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нормативным документам субъектов Российской Федерации, утвержденным в установленном порядке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22. Помещения контрольно-диспетчерского пункта с автоматической системой, центра коммутации сообщений, дальних и ближних приводных радиостанций с радиомаркерами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23. Помещения демонтажа и монтажа авиадвигателей, воздушных винтов, шасси и колес самолетов и вертолетов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24. Помещения самолетного и двигателеремонтного производств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25. Помещения для хранения транспортных средств, размещаемые в зданиях иного назначения (за исключением индивидуальных жилых домов) при их расположении: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25.1. В подвальных и подземных этажах (в том числе под мостами)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25.2. В цокольных и надземных этажах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хранении 3-х и более автомобилей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При хранении менее 3-х автомобилей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Общественные помещения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26. Помещения хранения и выдачи уникальных изданий, отчетов, рукописей и другой документации особой ценности (в том числе архивов операционных отделов)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27. Помещения хранилищ и помещения хранения служебных каталогов и описей в библиотеках и архивах с общим фондом хранения: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27.1. 500 тыс. единиц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27.2. Менее 500 тыс. единиц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28. Выставочные залы*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29. Помещения хранения музейных ценностей*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 В зданиях культурно-зрелищного назначения: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30.1. В кинотеатрах и клубах с эстрадами при вместимости зала более 700 мест при наличии колосников**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30.2. В клубах со сценами размерами, м: 12,5х7,5; 15х7,5; 18х9 и 21х12 при вместимости зала до 700 мест**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30.3. В клубах со сценами размерами 18х9; 21х12 при вместимости зрительного зала более 700 мест, со сценами 18х12 и 21х15 независимо от вместимости, а также в театрах**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,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30.4. В концертных и киноконцертных залах филармоний вместимостью 800 мест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30.5. Склады декораций, бутафории и реквизита, столярные мастерские, фуражные, инвентарные и хозяйственные кладовые, помещения хранения и изготовления рекламы, помещения производственного назначения и обслуживания сцены, помещения для животных, чердачное подкупольное пространство над зрительным залом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 Помещения хранилищ ценностей: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31.1. В банках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 ВНП 001-95/Банк России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31.2. В ломбардах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32. Съемочные павильоны киностудий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 xml:space="preserve">2 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33. Помещения (камеры) хранения багажа ручной клади (кроме оборудованных автоматическими ячейками) и склады горючих материалов в зданиях вокзалов (в том числе аэровокзалов) в этажах: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33.1. В цокольном и подвальном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33.2. В надземных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300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34. Помещения для хранения горючих материалов или негорючих материалов в горючей упаковке, при расположении 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  </w:t>
            </w:r>
          </w:p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34.1. Под трибунами любой вместимости в крытых спортивных сооружениях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100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34.2. В зданиях крытых спортивных сооружений вместимостью 800 и более зрителей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34.3. Под трибунами вместимостью 3000 и более зрителей при открытых спортивных сооружениях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35. Помещения для размещения: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35.1. Электронно-вычислительных машин (ЭВМ), работающих в системах управления сложными технологическими процессами, нарушение которых влияет на безопасность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35.2. Связных процессоров (серверные), архивов магнитных и бумажных носителей, графопостроителей, печати информации на бумажных носителях (принтерные)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24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35.3. Для размещения персональных ЭВМ на рабочих столах пользователей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36. Помещения предприятий торговли, встроенные в здания другого назначения: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36.1. Подвальные и цокольные этажи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200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36.2. Надземные этажи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Менее 500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37. Помещения производственного и складского назначения, расположенные в научно-исследовательских учреждениях и других общественных зданиях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Оборудуются в соответствии с табл. 3 настоящих норм</w:t>
            </w:r>
          </w:p>
        </w:tc>
      </w:tr>
      <w:tr w:rsidR="00DD699B" w:rsidRPr="00385833" w:rsidTr="000737D3">
        <w:trPr>
          <w:gridBefore w:val="1"/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38. Помещения иного административного и общественного назначения, в том числе встроенные и пристроенные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</w:tr>
    </w:tbl>
    <w:p w:rsidR="00DD699B" w:rsidRPr="000737D3" w:rsidRDefault="00DD699B" w:rsidP="000737D3">
      <w:pPr>
        <w:spacing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Примечания: 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br/>
        <w:t>* Данное требование не распространяется на помещения, временно используемые для выставок (фойе, вестибюли и т. д.), а так же на помещения, где хранение ценностей производится в металлических сейфах.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** Дренчеры устанавливаются под колосниками сцены и арьерсцены, под нижним ярусом рабочих галерей и соединяющими их нижними переходными мостиками, в сейфах скатанных декораций и во всех проемах сцены, включая проемы портала, карманов и арьерсцены, а также части трюма, занятой конструкциями встроенного оборудования сцены и подъемно-опускных устройств.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>*** Спринклерными установками оборудуются: покрытия сцены и арьерсцены, все рабочие галереи и переходные мостики, кроме нижних, трюм (кроме встроенного оборудования сцены), карманы сцены, арьерсцена, а также складские помещения, кладовые, мастерские, помещения станковых и объемных декораций, камера пылеудаления.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IV. ОБОРУДОВАНИЕ </w:t>
      </w:r>
    </w:p>
    <w:p w:rsidR="00DD699B" w:rsidRPr="000737D3" w:rsidRDefault="00DD699B" w:rsidP="000737D3">
      <w:pPr>
        <w:spacing w:before="100" w:beforeAutospacing="1" w:after="100" w:afterAutospacing="1" w:line="240" w:lineRule="auto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0737D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Таблица 4</w:t>
      </w:r>
      <w:r w:rsidRPr="000737D3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227"/>
        <w:gridCol w:w="6899"/>
        <w:gridCol w:w="1678"/>
        <w:gridCol w:w="729"/>
      </w:tblGrid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Объект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АУПС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Нормативный показатель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1. Окрасочные камеры с применением ЛВЖ и ГЖ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2. Сушильные камеры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3. Циклоны (бункеры) для сбора горючих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" – 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 Трансформаторы и реакторы: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4.1. Напряжением 500 кВ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мощности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4.2. Напряжением 220</w:t>
            </w:r>
            <w:r w:rsidRPr="000737D3">
              <w:rPr>
                <w:rFonts w:ascii="Symbol" w:hAnsi="Symbol" w:cs="Arial"/>
                <w:color w:val="000000"/>
                <w:sz w:val="20"/>
                <w:szCs w:val="20"/>
                <w:lang w:eastAsia="ru-RU"/>
              </w:rPr>
              <w:t>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330 кВ и выше, мощностью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200 МВА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4.3. Напряжением 110 кВ и выше, установленные у здания гидроэлектростанций, с единичной мощностью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 МВА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4.4. Напряжением 110 кВ и выше, установленные в камерах закрытых подстанций глубокого ввода и в закрытых распределительных установках электростанций и подстанций, мощностью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63 МВА и выше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5. Испытательные станции передвижных электростанций и агрегатов с дизель- и бензоэлектрическими агрегатами, смонтированными на автомашинах и прицепах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6. Стеллажи высотой более 5,5 м для хранения горючих материалов и негорючих материалов в горючей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Независимо от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D699B" w:rsidRPr="00385833" w:rsidTr="000737D3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7. Масляные емкости для закаливания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 м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и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D699B" w:rsidRPr="000737D3" w:rsidRDefault="00DD699B" w:rsidP="000737D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0737D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D699B" w:rsidRDefault="00DD699B">
      <w:r w:rsidRPr="000737D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DD699B" w:rsidSect="00F1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7D3"/>
    <w:rsid w:val="000737D3"/>
    <w:rsid w:val="00385833"/>
    <w:rsid w:val="00510E7B"/>
    <w:rsid w:val="00781122"/>
    <w:rsid w:val="008344C5"/>
    <w:rsid w:val="00DD699B"/>
    <w:rsid w:val="00F1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37D3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npb">
    <w:name w:val="npb"/>
    <w:basedOn w:val="Normal"/>
    <w:uiPriority w:val="99"/>
    <w:rsid w:val="000737D3"/>
    <w:pPr>
      <w:spacing w:before="15" w:after="15" w:line="240" w:lineRule="auto"/>
      <w:jc w:val="center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customStyle="1" w:styleId="form">
    <w:name w:val="form"/>
    <w:basedOn w:val="Normal"/>
    <w:uiPriority w:val="99"/>
    <w:rsid w:val="000737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right">
    <w:name w:val="right"/>
    <w:basedOn w:val="Normal"/>
    <w:uiPriority w:val="99"/>
    <w:rsid w:val="000737D3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2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23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2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3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233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3785</Words>
  <Characters>21577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ДЕЛАМ ГРАЖДАНСКОЙ ОБОРОНЫ, ЧРЕЗВЫЧАЙНЫМ СИТУАЦИЯМ И ЛИКВИДАЦИИ ПОСЛЕДСТВИЙ СТИХИЙНЫХ БЕДСТВИЙ  </dc:title>
  <dc:subject/>
  <dc:creator>1</dc:creator>
  <cp:keywords/>
  <dc:description/>
  <cp:lastModifiedBy>User</cp:lastModifiedBy>
  <cp:revision>2</cp:revision>
  <dcterms:created xsi:type="dcterms:W3CDTF">2012-09-18T08:57:00Z</dcterms:created>
  <dcterms:modified xsi:type="dcterms:W3CDTF">2012-09-18T08:57:00Z</dcterms:modified>
</cp:coreProperties>
</file>