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95" w:rsidRDefault="000D6395" w:rsidP="000D6395">
      <w:pPr>
        <w:pStyle w:val="a3"/>
        <w:shd w:val="clear" w:color="auto" w:fill="FFFFFF"/>
        <w:spacing w:line="360" w:lineRule="atLeast"/>
        <w:outlineLvl w:val="0"/>
      </w:pPr>
      <w:r>
        <w:rPr>
          <w:rFonts w:ascii="Arial" w:hAnsi="Arial" w:cs="Arial"/>
          <w:color w:val="007AD0"/>
          <w:kern w:val="36"/>
          <w:sz w:val="36"/>
          <w:szCs w:val="36"/>
        </w:rPr>
        <w:t>О федеральном проекте профессиональной ориентации школьников "Билет в будущее"</w:t>
      </w:r>
    </w:p>
    <w:p w:rsidR="000D6395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</w:pPr>
      <w:r>
        <w:rPr>
          <w:rFonts w:ascii="Arial" w:hAnsi="Arial" w:cs="Arial"/>
          <w:color w:val="484C51"/>
        </w:rPr>
        <w:t>Программа ранней профориентации учащихся 6-11 классов. 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b/>
          <w:bCs/>
          <w:i/>
          <w:iCs/>
          <w:color w:val="555555"/>
          <w:sz w:val="28"/>
          <w:szCs w:val="28"/>
        </w:rPr>
        <w:t>Реализация проекта «Билет в будущее», инициирован президентом Российской Федерации В.В. Путиным во время встречи с участниками всероссийского форума «Наставник» в феврале 2018 года. Оператором проекта является Союз «Молодые профессионалы (</w:t>
      </w:r>
      <w:proofErr w:type="spellStart"/>
      <w:r w:rsidRPr="002B62AD">
        <w:rPr>
          <w:b/>
          <w:bCs/>
          <w:i/>
          <w:iCs/>
          <w:color w:val="555555"/>
          <w:sz w:val="28"/>
          <w:szCs w:val="28"/>
        </w:rPr>
        <w:t>Ворлдскиллс</w:t>
      </w:r>
      <w:proofErr w:type="spellEnd"/>
      <w:r w:rsidRPr="002B62AD">
        <w:rPr>
          <w:b/>
          <w:bCs/>
          <w:i/>
          <w:iCs/>
          <w:color w:val="555555"/>
          <w:sz w:val="28"/>
          <w:szCs w:val="28"/>
        </w:rPr>
        <w:t xml:space="preserve"> Россия)» при поддержке Министерства просвещения Российской Федерации.</w:t>
      </w:r>
      <w:r w:rsidRPr="002B62AD">
        <w:rPr>
          <w:color w:val="555555"/>
          <w:sz w:val="28"/>
          <w:szCs w:val="28"/>
        </w:rPr>
        <w:t> 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t>Организаторами проекта "Билет в будущее" выступают: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t>-Правительство Российской Федерации;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t>-Министерство просвещения Российской Федерации;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t>-АНО "</w:t>
      </w:r>
      <w:proofErr w:type="spellStart"/>
      <w:r w:rsidRPr="002B62AD">
        <w:rPr>
          <w:color w:val="555555"/>
          <w:sz w:val="28"/>
          <w:szCs w:val="28"/>
        </w:rPr>
        <w:t>Агенство</w:t>
      </w:r>
      <w:proofErr w:type="spellEnd"/>
      <w:r w:rsidRPr="002B62AD">
        <w:rPr>
          <w:color w:val="555555"/>
          <w:sz w:val="28"/>
          <w:szCs w:val="28"/>
        </w:rPr>
        <w:t xml:space="preserve"> стратегических инициатив по продвижению новых проектов";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t>-Союз "</w:t>
      </w:r>
      <w:proofErr w:type="spellStart"/>
      <w:r w:rsidRPr="002B62AD">
        <w:rPr>
          <w:color w:val="555555"/>
          <w:sz w:val="28"/>
          <w:szCs w:val="28"/>
        </w:rPr>
        <w:t>Агенство</w:t>
      </w:r>
      <w:proofErr w:type="spellEnd"/>
      <w:r w:rsidRPr="002B62AD">
        <w:rPr>
          <w:color w:val="555555"/>
          <w:sz w:val="28"/>
          <w:szCs w:val="28"/>
        </w:rPr>
        <w:t xml:space="preserve"> развития профессиональных сообществ и рабочих кадров "Молодые профессионалы".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555555"/>
          <w:sz w:val="28"/>
          <w:szCs w:val="28"/>
        </w:rPr>
        <w:br/>
      </w:r>
      <w:r w:rsidRPr="002B62AD">
        <w:rPr>
          <w:color w:val="484C51"/>
          <w:sz w:val="28"/>
          <w:szCs w:val="28"/>
        </w:rPr>
        <w:t>Федеральный проект направлен на раннюю профессиональную ориентацию учащихся 6-11 классов.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color w:val="484C51"/>
          <w:sz w:val="28"/>
          <w:szCs w:val="28"/>
        </w:rPr>
        <w:t xml:space="preserve">В 2018 году «Билет в будущее» был запущен в </w:t>
      </w:r>
      <w:proofErr w:type="spellStart"/>
      <w:r w:rsidRPr="002B62AD">
        <w:rPr>
          <w:color w:val="484C51"/>
          <w:sz w:val="28"/>
          <w:szCs w:val="28"/>
        </w:rPr>
        <w:t>пилотном</w:t>
      </w:r>
      <w:proofErr w:type="spellEnd"/>
      <w:r w:rsidRPr="002B62AD">
        <w:rPr>
          <w:color w:val="484C51"/>
          <w:sz w:val="28"/>
          <w:szCs w:val="28"/>
        </w:rPr>
        <w:t xml:space="preserve"> режиме и охватил около 100 000 школьников в 32 регионах страны.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color w:val="484C51"/>
          <w:sz w:val="28"/>
          <w:szCs w:val="28"/>
        </w:rPr>
        <w:t xml:space="preserve">В 2019 году он охватит более полумиллиона </w:t>
      </w:r>
      <w:proofErr w:type="spellStart"/>
      <w:r w:rsidRPr="002B62AD">
        <w:rPr>
          <w:color w:val="484C51"/>
          <w:sz w:val="28"/>
          <w:szCs w:val="28"/>
        </w:rPr>
        <w:t>школьноков</w:t>
      </w:r>
      <w:proofErr w:type="spellEnd"/>
      <w:r w:rsidRPr="002B62AD">
        <w:rPr>
          <w:color w:val="484C51"/>
          <w:sz w:val="28"/>
          <w:szCs w:val="28"/>
        </w:rPr>
        <w:t xml:space="preserve"> нашей страны.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proofErr w:type="spellStart"/>
      <w:r w:rsidRPr="002B62AD">
        <w:rPr>
          <w:color w:val="484C51"/>
          <w:sz w:val="28"/>
          <w:szCs w:val="28"/>
        </w:rPr>
        <w:t>Профориентационный</w:t>
      </w:r>
      <w:proofErr w:type="spellEnd"/>
      <w:r w:rsidRPr="002B62AD">
        <w:rPr>
          <w:color w:val="484C51"/>
          <w:sz w:val="28"/>
          <w:szCs w:val="28"/>
        </w:rPr>
        <w:t xml:space="preserve"> проект «Билет в будущее» состоит из трех основных блоков.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b/>
          <w:bCs/>
          <w:color w:val="484C51"/>
          <w:sz w:val="28"/>
          <w:szCs w:val="28"/>
        </w:rPr>
        <w:t>Первый – тестирование</w:t>
      </w:r>
      <w:r w:rsidRPr="002B62AD">
        <w:rPr>
          <w:color w:val="484C51"/>
          <w:sz w:val="28"/>
          <w:szCs w:val="28"/>
        </w:rPr>
        <w:t xml:space="preserve">. В школе каждому школьнику предлагается пройти </w:t>
      </w:r>
      <w:proofErr w:type="gramStart"/>
      <w:r w:rsidRPr="002B62AD">
        <w:rPr>
          <w:color w:val="484C51"/>
          <w:sz w:val="28"/>
          <w:szCs w:val="28"/>
        </w:rPr>
        <w:t>трехэтапное</w:t>
      </w:r>
      <w:proofErr w:type="gramEnd"/>
      <w:r w:rsidRPr="002B62AD">
        <w:rPr>
          <w:color w:val="484C51"/>
          <w:sz w:val="28"/>
          <w:szCs w:val="28"/>
        </w:rPr>
        <w:t xml:space="preserve"> </w:t>
      </w:r>
      <w:proofErr w:type="spellStart"/>
      <w:r w:rsidRPr="002B62AD">
        <w:rPr>
          <w:color w:val="484C51"/>
          <w:sz w:val="28"/>
          <w:szCs w:val="28"/>
        </w:rPr>
        <w:t>онлайн-тестирование</w:t>
      </w:r>
      <w:proofErr w:type="spellEnd"/>
      <w:r w:rsidRPr="002B62AD">
        <w:rPr>
          <w:color w:val="484C51"/>
          <w:sz w:val="28"/>
          <w:szCs w:val="28"/>
        </w:rPr>
        <w:t xml:space="preserve"> на специальной цифровой платформе. Методика тестирования основана на научных трудах отечественных ученых и практике экспертов </w:t>
      </w:r>
      <w:proofErr w:type="spellStart"/>
      <w:r w:rsidRPr="002B62AD">
        <w:rPr>
          <w:color w:val="484C51"/>
          <w:sz w:val="28"/>
          <w:szCs w:val="28"/>
        </w:rPr>
        <w:t>Worldskills</w:t>
      </w:r>
      <w:proofErr w:type="spellEnd"/>
      <w:r w:rsidRPr="002B62AD">
        <w:rPr>
          <w:color w:val="484C51"/>
          <w:sz w:val="28"/>
          <w:szCs w:val="28"/>
        </w:rPr>
        <w:t xml:space="preserve">. </w:t>
      </w:r>
      <w:proofErr w:type="spellStart"/>
      <w:r w:rsidRPr="002B62AD">
        <w:rPr>
          <w:color w:val="484C51"/>
          <w:sz w:val="28"/>
          <w:szCs w:val="28"/>
        </w:rPr>
        <w:t>Онлайн-тесты</w:t>
      </w:r>
      <w:proofErr w:type="spellEnd"/>
      <w:r w:rsidRPr="002B62AD">
        <w:rPr>
          <w:color w:val="484C51"/>
          <w:sz w:val="28"/>
          <w:szCs w:val="28"/>
        </w:rPr>
        <w:t xml:space="preserve"> содержат развивающий </w:t>
      </w:r>
      <w:proofErr w:type="spellStart"/>
      <w:r w:rsidRPr="002B62AD">
        <w:rPr>
          <w:color w:val="484C51"/>
          <w:sz w:val="28"/>
          <w:szCs w:val="28"/>
        </w:rPr>
        <w:t>опросник</w:t>
      </w:r>
      <w:proofErr w:type="spellEnd"/>
      <w:r w:rsidRPr="002B62AD">
        <w:rPr>
          <w:color w:val="484C51"/>
          <w:sz w:val="28"/>
          <w:szCs w:val="28"/>
        </w:rPr>
        <w:t>, определяющий готовность к выбору профессии, а также тесты, направленные на диагностику важных для выбора профессии способностей и навыков, осведомленности в различных перспективных направлениях. После каждого этапа тестирования участники получают обратную связь и персональные рекомендации.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b/>
          <w:bCs/>
          <w:color w:val="484C51"/>
          <w:sz w:val="28"/>
          <w:szCs w:val="28"/>
        </w:rPr>
        <w:t>Второй блок — профессиональные пробы</w:t>
      </w:r>
      <w:r w:rsidRPr="002B62AD">
        <w:rPr>
          <w:color w:val="484C51"/>
          <w:sz w:val="28"/>
          <w:szCs w:val="28"/>
        </w:rPr>
        <w:t xml:space="preserve">. Это практико-ориентированные мероприятия. Опытные наставники проведут для школьников серию очных занятий и мастер-классов. Профессиональные пробы подразумевают </w:t>
      </w:r>
      <w:r w:rsidRPr="002B62AD">
        <w:rPr>
          <w:color w:val="484C51"/>
          <w:sz w:val="28"/>
          <w:szCs w:val="28"/>
        </w:rPr>
        <w:lastRenderedPageBreak/>
        <w:t>индивидуальную и групповую практическую работу. Результат такой практической работы — выполнение конкретного задания.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jc w:val="both"/>
        <w:rPr>
          <w:sz w:val="28"/>
          <w:szCs w:val="28"/>
        </w:rPr>
      </w:pPr>
      <w:r w:rsidRPr="002B62AD">
        <w:rPr>
          <w:b/>
          <w:bCs/>
          <w:color w:val="484C51"/>
          <w:sz w:val="28"/>
          <w:szCs w:val="28"/>
        </w:rPr>
        <w:t>Третий</w:t>
      </w:r>
      <w:r w:rsidRPr="002B62AD">
        <w:rPr>
          <w:color w:val="484C51"/>
          <w:sz w:val="28"/>
          <w:szCs w:val="28"/>
        </w:rPr>
        <w:t xml:space="preserve"> блок - после окончания </w:t>
      </w:r>
      <w:proofErr w:type="spellStart"/>
      <w:r w:rsidRPr="002B62AD">
        <w:rPr>
          <w:color w:val="484C51"/>
          <w:sz w:val="28"/>
          <w:szCs w:val="28"/>
        </w:rPr>
        <w:t>профпробы</w:t>
      </w:r>
      <w:proofErr w:type="spellEnd"/>
      <w:r w:rsidRPr="002B62AD">
        <w:rPr>
          <w:color w:val="484C51"/>
          <w:sz w:val="28"/>
          <w:szCs w:val="28"/>
        </w:rPr>
        <w:t xml:space="preserve"> наставники дадут каждому участнику обратную связь и персональные рекомендации. Учащийся получит «траекторию профессионального развития» — рекомендации по изучению программ дополнительного образования в регионе.</w:t>
      </w:r>
    </w:p>
    <w:p w:rsidR="000D6395" w:rsidRPr="002B62AD" w:rsidRDefault="000D6395" w:rsidP="000D6395">
      <w:pPr>
        <w:pStyle w:val="a3"/>
        <w:shd w:val="clear" w:color="auto" w:fill="FFFFFF"/>
        <w:spacing w:after="0" w:afterAutospacing="0" w:line="330" w:lineRule="atLeast"/>
        <w:rPr>
          <w:sz w:val="28"/>
          <w:szCs w:val="28"/>
        </w:rPr>
      </w:pPr>
      <w:r w:rsidRPr="002B62AD">
        <w:rPr>
          <w:color w:val="484C51"/>
          <w:sz w:val="28"/>
          <w:szCs w:val="28"/>
        </w:rPr>
        <w:t>Президент России Владимир Владимирович Путин отмечает, что это поможет молодежи определиться с выбором профессии, а профессионалам передать накопленный опыт подрастающему поколению. </w:t>
      </w:r>
    </w:p>
    <w:p w:rsidR="000D6395" w:rsidRPr="002B62AD" w:rsidRDefault="000D6395" w:rsidP="000D6395">
      <w:pPr>
        <w:pStyle w:val="a3"/>
        <w:jc w:val="center"/>
        <w:rPr>
          <w:color w:val="0000FF"/>
          <w:sz w:val="28"/>
          <w:szCs w:val="28"/>
        </w:rPr>
      </w:pPr>
      <w:r w:rsidRPr="002B62AD">
        <w:rPr>
          <w:color w:val="0000FF"/>
          <w:sz w:val="28"/>
          <w:szCs w:val="28"/>
        </w:rPr>
        <w:t xml:space="preserve"> </w:t>
      </w:r>
    </w:p>
    <w:p w:rsidR="0051749F" w:rsidRPr="002B62AD" w:rsidRDefault="0051749F">
      <w:pPr>
        <w:rPr>
          <w:rFonts w:ascii="Times New Roman" w:hAnsi="Times New Roman" w:cs="Times New Roman"/>
          <w:sz w:val="28"/>
          <w:szCs w:val="28"/>
        </w:rPr>
      </w:pPr>
    </w:p>
    <w:sectPr w:rsidR="0051749F" w:rsidRPr="002B62AD" w:rsidSect="000D63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395"/>
    <w:rsid w:val="000D6395"/>
    <w:rsid w:val="002B62AD"/>
    <w:rsid w:val="0051749F"/>
    <w:rsid w:val="007A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3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Директор</cp:lastModifiedBy>
  <cp:revision>2</cp:revision>
  <dcterms:created xsi:type="dcterms:W3CDTF">2019-09-16T07:45:00Z</dcterms:created>
  <dcterms:modified xsi:type="dcterms:W3CDTF">2019-09-16T08:20:00Z</dcterms:modified>
</cp:coreProperties>
</file>